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D7A4E"/>
          <w:sz w:val="56"/>
        </w:rPr>
        <w:t>LINDE</w:t>
      </w:r>
    </w:p>
    <w:p>
      <w:pPr>
        <w:jc w:val="center"/>
      </w:pPr>
      <w:r>
        <w:rPr>
          <w:b/>
          <w:color w:val="163A5F"/>
          <w:sz w:val="36"/>
        </w:rPr>
        <w:t>Plano Nacional de Implantação</w:t>
      </w:r>
    </w:p>
    <w:p>
      <w:pPr>
        <w:jc w:val="center"/>
      </w:pPr>
      <w:r>
        <w:rPr>
          <w:i/>
          <w:color w:val="5B6573"/>
          <w:sz w:val="22"/>
        </w:rPr>
        <w:t>Execução gradual, aproveitamento de estruturas e metas</w:t>
      </w:r>
    </w:p>
    <w:p>
      <w:pPr>
        <w:jc w:val="center"/>
      </w:pPr>
      <w:r>
        <w:rPr>
          <w:b/>
          <w:sz w:val="22"/>
        </w:rPr>
        <w:t>“Nenhuma quadra pública vazia. Nenhum talento desperdiçado.”</w:t>
      </w:r>
    </w:p>
    <w:p/>
    <w:p>
      <w:pPr>
        <w:pStyle w:val="Heading1"/>
      </w:pPr>
      <w:r>
        <w:t>Diretriz de execução</w:t>
      </w:r>
    </w:p>
    <w:p>
      <w:r>
        <w:t>A implantação deve começar pelo uso qualificado das estruturas existentes. Obras novas serão realizadas somente quando o inventário demonstrar insuficiência ou inviabilidade de adaptação.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tblHeader w:val="true"/>
        </w:trPr>
        <w:tc>
          <w:tcPr>
            <w:tcW w:type="dxa" w:w="3312"/>
            <w:shd w:fill="163A5F"/>
          </w:tcPr>
          <w:p>
            <w:r>
              <w:rPr>
                <w:b/>
                <w:color w:val="FFFFFF"/>
              </w:rPr>
              <w:t>Fase</w:t>
            </w:r>
          </w:p>
        </w:tc>
        <w:tc>
          <w:tcPr>
            <w:tcW w:type="dxa" w:w="3312"/>
            <w:shd w:fill="163A5F"/>
          </w:tcPr>
          <w:p>
            <w:r>
              <w:rPr>
                <w:b/>
                <w:color w:val="FFFFFF"/>
              </w:rPr>
              <w:t>Prazo indicativo</w:t>
            </w:r>
          </w:p>
        </w:tc>
        <w:tc>
          <w:tcPr>
            <w:tcW w:type="dxa" w:w="3312"/>
            <w:shd w:fill="163A5F"/>
          </w:tcPr>
          <w:p>
            <w:r>
              <w:rPr>
                <w:b/>
                <w:color w:val="FFFFFF"/>
              </w:rPr>
              <w:t>Entregas</w:t>
            </w:r>
          </w:p>
        </w:tc>
      </w:tr>
      <w:tr>
        <w:tc>
          <w:tcPr>
            <w:tcW w:type="dxa" w:w="3312"/>
          </w:tcPr>
          <w:p>
            <w:r>
              <w:t>Fase 1</w:t>
            </w:r>
          </w:p>
        </w:tc>
        <w:tc>
          <w:tcPr>
            <w:tcW w:type="dxa" w:w="3312"/>
          </w:tcPr>
          <w:p>
            <w:r>
              <w:t>0-12 meses</w:t>
            </w:r>
          </w:p>
        </w:tc>
        <w:tc>
          <w:tcPr>
            <w:tcW w:type="dxa" w:w="3312"/>
          </w:tcPr>
          <w:p>
            <w:r>
              <w:t>Inventário nacional; cadastro das instalações; regulamentação; seleção de projetos-piloto; padrões de segurança; portal público.</w:t>
            </w:r>
          </w:p>
        </w:tc>
      </w:tr>
      <w:tr>
        <w:tc>
          <w:tcPr>
            <w:tcW w:type="dxa" w:w="3312"/>
          </w:tcPr>
          <w:p>
            <w:r>
              <w:t>Fase 2</w:t>
            </w:r>
          </w:p>
        </w:tc>
        <w:tc>
          <w:tcPr>
            <w:tcW w:type="dxa" w:w="3312"/>
          </w:tcPr>
          <w:p>
            <w:r>
              <w:t>Ano 1-2</w:t>
            </w:r>
          </w:p>
        </w:tc>
        <w:tc>
          <w:tcPr>
            <w:tcW w:type="dxa" w:w="3312"/>
          </w:tcPr>
          <w:p>
            <w:r>
              <w:t>Abertura de núcleos-piloto; Férias em Movimento; aquisição de materiais; formação de monitores; reformas urgentes e acessibilidade.</w:t>
            </w:r>
          </w:p>
        </w:tc>
      </w:tr>
      <w:tr>
        <w:tc>
          <w:tcPr>
            <w:tcW w:type="dxa" w:w="3312"/>
          </w:tcPr>
          <w:p>
            <w:r>
              <w:t>Fase 3</w:t>
            </w:r>
          </w:p>
        </w:tc>
        <w:tc>
          <w:tcPr>
            <w:tcW w:type="dxa" w:w="3312"/>
          </w:tcPr>
          <w:p>
            <w:r>
              <w:t>Ano 2-4</w:t>
            </w:r>
          </w:p>
        </w:tc>
        <w:tc>
          <w:tcPr>
            <w:tcW w:type="dxa" w:w="3312"/>
          </w:tcPr>
          <w:p>
            <w:r>
              <w:t>Expansão municipal e estadual; consolidação de pelo menos um complexo-piloto por região; rede de avaliação e ciência esportiva.</w:t>
            </w:r>
          </w:p>
        </w:tc>
      </w:tr>
      <w:tr>
        <w:tc>
          <w:tcPr>
            <w:tcW w:type="dxa" w:w="3312"/>
          </w:tcPr>
          <w:p>
            <w:r>
              <w:t>Fase 4</w:t>
            </w:r>
          </w:p>
        </w:tc>
        <w:tc>
          <w:tcPr>
            <w:tcW w:type="dxa" w:w="3312"/>
          </w:tcPr>
          <w:p>
            <w:r>
              <w:t>Ano 4-8</w:t>
            </w:r>
          </w:p>
        </w:tc>
        <w:tc>
          <w:tcPr>
            <w:tcW w:type="dxa" w:w="3312"/>
          </w:tcPr>
          <w:p>
            <w:r>
              <w:t>Entrega ou certificação dos 27 Complexos Estaduais de referência, priorizando adaptação de estruturas existentes.</w:t>
            </w:r>
          </w:p>
        </w:tc>
      </w:tr>
      <w:tr>
        <w:tc>
          <w:tcPr>
            <w:tcW w:type="dxa" w:w="3312"/>
          </w:tcPr>
          <w:p>
            <w:r>
              <w:t>Fase 5</w:t>
            </w:r>
          </w:p>
        </w:tc>
        <w:tc>
          <w:tcPr>
            <w:tcW w:type="dxa" w:w="3312"/>
          </w:tcPr>
          <w:p>
            <w:r>
              <w:t>Ano 8-12</w:t>
            </w:r>
          </w:p>
        </w:tc>
        <w:tc>
          <w:tcPr>
            <w:tcW w:type="dxa" w:w="3312"/>
          </w:tcPr>
          <w:p>
            <w:r>
              <w:t>Expansão regional segundo população e território; centros nacionais especializados; avaliação de impacto e revisão legislativa.</w:t>
            </w:r>
          </w:p>
        </w:tc>
      </w:tr>
    </w:tbl>
    <w:p>
      <w:pPr>
        <w:pStyle w:val="Heading1"/>
      </w:pPr>
      <w:r>
        <w:t>Critérios de prioridade</w:t>
      </w:r>
    </w:p>
    <w:p>
      <w:pPr>
        <w:pStyle w:val="ListNumber"/>
      </w:pPr>
      <w:r>
        <w:t>Vulnerabilidade social e baixa oferta de esporte.</w:t>
      </w:r>
    </w:p>
    <w:p>
      <w:pPr>
        <w:pStyle w:val="ListNumber"/>
      </w:pPr>
      <w:r>
        <w:t>Estrutura pública pronta ou recuperável.</w:t>
      </w:r>
    </w:p>
    <w:p>
      <w:pPr>
        <w:pStyle w:val="ListNumber"/>
      </w:pPr>
      <w:r>
        <w:t>Capacidade de atendimento regional.</w:t>
      </w:r>
    </w:p>
    <w:p>
      <w:pPr>
        <w:pStyle w:val="ListNumber"/>
      </w:pPr>
      <w:r>
        <w:t>Acessibilidade e inclusão paralímpica.</w:t>
      </w:r>
    </w:p>
    <w:p>
      <w:pPr>
        <w:pStyle w:val="ListNumber"/>
      </w:pPr>
      <w:r>
        <w:t>Custo de manutenção sustentável.</w:t>
      </w:r>
    </w:p>
    <w:p>
      <w:pPr>
        <w:pStyle w:val="ListNumber"/>
      </w:pPr>
      <w:r>
        <w:t>Diversidade de modalidades.</w:t>
      </w:r>
    </w:p>
    <w:p>
      <w:pPr>
        <w:pStyle w:val="ListNumber"/>
      </w:pPr>
      <w:r>
        <w:t>Distância e dificuldade de deslocamento.</w:t>
      </w:r>
    </w:p>
    <w:p>
      <w:pPr>
        <w:pStyle w:val="ListNumber"/>
      </w:pPr>
      <w:r>
        <w:t>Parcerias com universidades e institutos federais.</w:t>
      </w:r>
    </w:p>
    <w:p>
      <w:pPr>
        <w:pStyle w:val="Heading1"/>
      </w:pPr>
      <w:r>
        <w:t>Indicadores nacionais</w:t>
      </w:r>
    </w:p>
    <w:p>
      <w:pPr>
        <w:pStyle w:val="ListBullet"/>
      </w:pPr>
      <w:r>
        <w:t>Percentual de instalações cadastradas e efetivamente utilizadas.</w:t>
      </w:r>
    </w:p>
    <w:p>
      <w:pPr>
        <w:pStyle w:val="ListBullet"/>
      </w:pPr>
      <w:r>
        <w:t>Dias e horas de abertura por mês.</w:t>
      </w:r>
    </w:p>
    <w:p>
      <w:pPr>
        <w:pStyle w:val="ListBullet"/>
      </w:pPr>
      <w:r>
        <w:t>Número e perfil dos participantes.</w:t>
      </w:r>
    </w:p>
    <w:p>
      <w:pPr>
        <w:pStyle w:val="ListBullet"/>
      </w:pPr>
      <w:r>
        <w:t>Vagas nas férias e taxa de comparecimento.</w:t>
      </w:r>
    </w:p>
    <w:p>
      <w:pPr>
        <w:pStyle w:val="ListBullet"/>
      </w:pPr>
      <w:r>
        <w:t>Diversidade de modalidades e participação feminina.</w:t>
      </w:r>
    </w:p>
    <w:p>
      <w:pPr>
        <w:pStyle w:val="ListBullet"/>
      </w:pPr>
      <w:r>
        <w:t>Atendimento a pessoas com deficiência.</w:t>
      </w:r>
    </w:p>
    <w:p>
      <w:pPr>
        <w:pStyle w:val="ListBullet"/>
      </w:pPr>
      <w:r>
        <w:t>Custo por participante e por hora de utilização.</w:t>
      </w:r>
    </w:p>
    <w:p>
      <w:pPr>
        <w:pStyle w:val="ListBullet"/>
      </w:pPr>
      <w:r>
        <w:t>Frequência escolar dos atletas em formação.</w:t>
      </w:r>
    </w:p>
    <w:p>
      <w:pPr>
        <w:pStyle w:val="ListBullet"/>
      </w:pPr>
      <w:r>
        <w:t>Número de talentos encaminhados sem exclusão dos demais participantes.</w:t>
      </w:r>
    </w:p>
    <w:p>
      <w:pPr>
        <w:pStyle w:val="ListBullet"/>
      </w:pPr>
      <w:r>
        <w:t>Obras recuperadas e redução de equipamentos ociosos.</w:t>
      </w:r>
    </w:p>
    <w:p>
      <w:pPr>
        <w:pStyle w:val="Heading1"/>
      </w:pPr>
      <w:r>
        <w:t>Modelo mínimo do complexo de capital</w:t>
      </w:r>
    </w:p>
    <w:p>
      <w:pPr>
        <w:pStyle w:val="ListBullet"/>
      </w:pPr>
      <w:r>
        <w:t>Ginásio poliesportivo e salas multiuso.</w:t>
      </w:r>
    </w:p>
    <w:p>
      <w:pPr>
        <w:pStyle w:val="ListBullet"/>
      </w:pPr>
      <w:r>
        <w:t>Pista ou acesso conveniado ao atletismo.</w:t>
      </w:r>
    </w:p>
    <w:p>
      <w:pPr>
        <w:pStyle w:val="ListBullet"/>
      </w:pPr>
      <w:r>
        <w:t>Piscina própria ou complexo aquático integrado.</w:t>
      </w:r>
    </w:p>
    <w:p>
      <w:pPr>
        <w:pStyle w:val="ListBullet"/>
      </w:pPr>
      <w:r>
        <w:t>Centro de lutas, ginástica e força.</w:t>
      </w:r>
    </w:p>
    <w:p>
      <w:pPr>
        <w:pStyle w:val="ListBullet"/>
      </w:pPr>
      <w:r>
        <w:t>Medicina esportiva, fisioterapia, nutrição e psicologia.</w:t>
      </w:r>
    </w:p>
    <w:p>
      <w:pPr>
        <w:pStyle w:val="ListBullet"/>
      </w:pPr>
      <w:r>
        <w:t>Laboratório de avaliação e formação de treinadores.</w:t>
      </w:r>
    </w:p>
    <w:p>
      <w:pPr>
        <w:pStyle w:val="ListBullet"/>
      </w:pPr>
      <w:r>
        <w:t>Alojamento próprio ou rede conveniada.</w:t>
      </w:r>
    </w:p>
    <w:p>
      <w:pPr>
        <w:pStyle w:val="ListBullet"/>
      </w:pPr>
      <w:r>
        <w:t>Acessibilidade integral e equipamentos paralímpicos.</w:t>
      </w:r>
    </w:p>
    <w:p>
      <w:pPr>
        <w:pStyle w:val="ListBullet"/>
      </w:pPr>
      <w:r>
        <w:t>Programação comunitária e ligação com núcleos municipais.</w:t>
      </w:r>
    </w:p>
    <w:p>
      <w:pPr>
        <w:pStyle w:val="Heading1"/>
      </w:pPr>
      <w:r>
        <w:t>Estratégia financeira</w:t>
      </w:r>
    </w:p>
    <w:p>
      <w:r>
        <w:t>O plano não fixa estimativa única antes do inventário. Os custos devem ser separados em pessoal, materiais, manutenção, reformas, acessibilidade, tecnologia, transporte e obras. Cada complexo deverá apresentar custo de ciclo de vida, plano de manutenção e fonte de custeio permanente.</w:t>
      </w:r>
    </w:p>
    <w:p>
      <w:pPr>
        <w:pStyle w:val="Heading1"/>
      </w:pPr>
      <w:r>
        <w:t>Referências jurídicas e institucionais</w:t>
      </w:r>
    </w:p>
    <w:p>
      <w:pPr>
        <w:pStyle w:val="ListBullet"/>
      </w:pPr>
      <w:r>
        <w:t>BRASIL. Constituição da República Federativa do Brasil de 1988, especialmente arts. 6º, 23, 24, 30, 37, 205, 208, 211, 217 e 227.</w:t>
      </w:r>
    </w:p>
    <w:p>
      <w:pPr>
        <w:pStyle w:val="ListBullet"/>
      </w:pPr>
      <w:r>
        <w:t>BRASIL. Lei nº 14.597, de 14 de junho de 2023 - Lei Geral do Esporte, com alterações posteriores.</w:t>
      </w:r>
    </w:p>
    <w:p>
      <w:pPr>
        <w:pStyle w:val="ListBullet"/>
      </w:pPr>
      <w:r>
        <w:t>BRASIL. Lei nº 8.069, de 13 de julho de 1990 - Estatuto da Criança e do Adolescente.</w:t>
      </w:r>
    </w:p>
    <w:p>
      <w:pPr>
        <w:pStyle w:val="ListBullet"/>
      </w:pPr>
      <w:r>
        <w:t>BRASIL. Lei nº 9.394, de 20 de dezembro de 1996 - Lei de Diretrizes e Bases da Educação Nacional.</w:t>
      </w:r>
    </w:p>
    <w:p>
      <w:pPr>
        <w:pStyle w:val="ListBullet"/>
      </w:pPr>
      <w:r>
        <w:t>SENADO FEDERAL. Portal e-Cidadania - Ideia Legislativa. Ideias que alcancem 20 mil apoios podem ser convertidas em Sugestão Legislativa e analisadas pela CDH.</w:t>
      </w:r>
    </w:p>
    <w:p>
      <w:pPr>
        <w:pStyle w:val="ListBullet"/>
      </w:pPr>
      <w:r>
        <w:t>MINISTÉRIO DO ESPORTE. Experiências de esporte educacional e programação esportiva em férias, incluindo ações do Programa Segundo Tempo e Brincando com Esporte.</w:t>
      </w:r>
    </w:p>
    <w:p>
      <w:r>
        <w:rPr>
          <w:i/>
        </w:rPr>
        <w:t>Nota: este material é uma proposta cidadã preliminar e não substitui revisão técnica legislativa, jurídica, orçamentária e constitucional pelo Senado Federal.</w:t>
      </w:r>
    </w:p>
    <w:sectPr w:rsidR="00FC693F" w:rsidRPr="0006063C" w:rsidSect="00034616">
      <w:footerReference w:type="default" r:id="rId9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573"/>
        <w:sz w:val="16"/>
      </w:rPr>
      <w:t>LINDE - Lei Nacional de Infraestrutura e Desenvolvimento do Esporte | Proposta cidadã</w:t>
    </w:r>
  </w:p>
  <w:p>
    <w:pPr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D7A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63A5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