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7A4E"/>
          <w:sz w:val="56"/>
        </w:rPr>
        <w:t>LINDE</w:t>
      </w:r>
    </w:p>
    <w:p>
      <w:pPr>
        <w:jc w:val="center"/>
      </w:pPr>
      <w:r>
        <w:rPr>
          <w:b/>
          <w:color w:val="163A5F"/>
          <w:sz w:val="36"/>
        </w:rPr>
        <w:t>Nota Técnica e Jurídica</w:t>
      </w:r>
    </w:p>
    <w:p>
      <w:pPr>
        <w:jc w:val="center"/>
      </w:pPr>
      <w:r>
        <w:rPr>
          <w:i/>
          <w:color w:val="5B6573"/>
          <w:sz w:val="22"/>
        </w:rPr>
        <w:t>Compatibilidade legal, riscos e recomendações</w:t>
      </w:r>
    </w:p>
    <w:p>
      <w:pPr>
        <w:jc w:val="center"/>
      </w:pPr>
      <w:r>
        <w:rPr>
          <w:b/>
          <w:sz w:val="22"/>
        </w:rPr>
        <w:t>“Nenhuma quadra pública vazia. Nenhum talento desperdiçado.”</w:t>
      </w:r>
    </w:p>
    <w:p/>
    <w:p>
      <w:pPr>
        <w:pStyle w:val="Heading1"/>
      </w:pPr>
      <w:r>
        <w:t>1. Natureza da iniciativa cidadã</w:t>
      </w:r>
    </w:p>
    <w:p>
      <w:r>
        <w:t>A Ideia Legislativa do e-Cidadania é uma proposta popular resumida. Ao atingir 20 mil apoios, pode ser convertida em Sugestão Legislativa e examinada pela Comissão de Direitos Humanos e Legislação Participativa. O texto anexo funciona como subsídio técnico; o Senado poderá alterar redação, espécie normativa, iniciativa e conteúdo.</w:t>
      </w:r>
    </w:p>
    <w:p>
      <w:pPr>
        <w:pStyle w:val="Heading1"/>
      </w:pPr>
      <w:r>
        <w:t>2. Base constitucional</w:t>
      </w:r>
    </w:p>
    <w:p>
      <w:pPr>
        <w:pStyle w:val="ListBullet"/>
      </w:pPr>
      <w:r>
        <w:t>Art. 6º: direitos sociais, incluindo educação, saúde, alimentação, lazer e proteção à infância.</w:t>
      </w:r>
    </w:p>
    <w:p>
      <w:pPr>
        <w:pStyle w:val="ListBullet"/>
      </w:pPr>
      <w:r>
        <w:t>Arts. 23 e 24: competências comuns e concorrentes relevantes para educação, cultura, saúde, proteção à infância e desporto.</w:t>
      </w:r>
    </w:p>
    <w:p>
      <w:pPr>
        <w:pStyle w:val="ListBullet"/>
      </w:pPr>
      <w:r>
        <w:t>Art. 30: interesse local e cooperação municipal.</w:t>
      </w:r>
    </w:p>
    <w:p>
      <w:pPr>
        <w:pStyle w:val="ListBullet"/>
      </w:pPr>
      <w:r>
        <w:t>Art. 37: legalidade, impessoalidade, moralidade, publicidade e eficiência.</w:t>
      </w:r>
    </w:p>
    <w:p>
      <w:pPr>
        <w:pStyle w:val="ListBullet"/>
      </w:pPr>
      <w:r>
        <w:t>Art. 217: dever estatal de fomentar práticas esportivas e autonomia das entidades dirigentes.</w:t>
      </w:r>
    </w:p>
    <w:p>
      <w:pPr>
        <w:pStyle w:val="ListBullet"/>
      </w:pPr>
      <w:r>
        <w:t>Art. 227: prioridade absoluta à criança e ao adolescente.</w:t>
      </w:r>
    </w:p>
    <w:p>
      <w:pPr>
        <w:pStyle w:val="Heading1"/>
      </w:pPr>
      <w:r>
        <w:t>3. Relação com a Lei Geral do Esporte</w:t>
      </w:r>
    </w:p>
    <w:p>
      <w:r>
        <w:t>A Lei nº 14.597/2023 já disciplina o Sistema Nacional do Esporte e o sistema de informações e indicadores. Recomenda-se integrar a LINDE a essas estruturas, evitando duplicidade administrativa. O anteprojeto utiliza a expressão “integrada ao Sistema Nacional do Esporte”.</w:t>
      </w:r>
    </w:p>
    <w:p>
      <w:pPr>
        <w:pStyle w:val="Heading1"/>
      </w:pPr>
      <w:r>
        <w:t>4. Autonomia esportiva e CBF</w:t>
      </w:r>
    </w:p>
    <w:p>
      <w:r>
        <w:t>Não é recomendável redigir a proposta como apropriação automática de receita privada da CBF ou intervenção em sua gestão. O caminho juridicamente mais seguro é condicionar benefícios públicos, incentivos, repasses, cessões e programas oficiais a transparência, integridade e contrapartidas sociais proporcionais.</w:t>
      </w:r>
    </w:p>
    <w:p>
      <w:pPr>
        <w:pStyle w:val="Heading1"/>
      </w:pPr>
      <w:r>
        <w:t>5. Iniciativa e orçamento</w:t>
      </w:r>
    </w:p>
    <w:p>
      <w:r>
        <w:t>Normas que criam órgãos, cargos, carreiras, atribuições específicas ou despesas rígidas podem sofrer questionamentos de iniciativa reservada e responsabilidade fiscal. Por isso, o texto propõe política, rede, diretrizes e implantação progressiva, deixando organização administrativa, metas e padrões à regulamentação e ao planejamento orçamentário.</w:t>
      </w:r>
    </w:p>
    <w:p>
      <w:pPr>
        <w:pStyle w:val="Heading1"/>
      </w:pPr>
      <w:r>
        <w:t>6. Cooperação federativa</w:t>
      </w:r>
    </w:p>
    <w:p>
      <w:r>
        <w:t>A União não deve simplesmente ordenar a abertura de todas as escolas estaduais e municipais. A implementação deve ocorrer por adesão, pactuação, transferências, convênios, metas e apoio financeiro, respeitando autonomia federativa e gestão educacional.</w:t>
      </w:r>
    </w:p>
    <w:p>
      <w:pPr>
        <w:pStyle w:val="Heading1"/>
      </w:pPr>
      <w:r>
        <w:t>7. Proteção de menores e dados</w:t>
      </w:r>
    </w:p>
    <w:p>
      <w:r>
        <w:t>Os programas devem observar ECA, LGPD, protocolos contra violência e assédio, consentimento de responsáveis, registro de participantes e limites de treinamento. Avaliações esportivas e IA não podem produzir estigmatização ou decisões automatizadas excludentes.</w:t>
      </w:r>
    </w:p>
    <w:p>
      <w:pPr>
        <w:pStyle w:val="Heading1"/>
      </w:pPr>
      <w:r>
        <w:t>8. Recomendações finais</w:t>
      </w:r>
    </w:p>
    <w:p>
      <w:pPr>
        <w:pStyle w:val="ListBullet"/>
      </w:pPr>
      <w:r>
        <w:t>Manter a construção nova como última alternativa.</w:t>
      </w:r>
    </w:p>
    <w:p>
      <w:pPr>
        <w:pStyle w:val="ListBullet"/>
      </w:pPr>
      <w:r>
        <w:t>Não fixar valores financeiros antes do inventário nacional.</w:t>
      </w:r>
    </w:p>
    <w:p>
      <w:pPr>
        <w:pStyle w:val="ListBullet"/>
      </w:pPr>
      <w:r>
        <w:t>Usar metas progressivas e avaliação quadrienal.</w:t>
      </w:r>
    </w:p>
    <w:p>
      <w:pPr>
        <w:pStyle w:val="ListBullet"/>
      </w:pPr>
      <w:r>
        <w:t>Diferenciar acesso universal, formação e alto rendimento.</w:t>
      </w:r>
    </w:p>
    <w:p>
      <w:pPr>
        <w:pStyle w:val="ListBullet"/>
      </w:pPr>
      <w:r>
        <w:t>Garantir ao menos um complexo por capital, permitindo adaptação de unidades existentes.</w:t>
      </w:r>
    </w:p>
    <w:p>
      <w:pPr>
        <w:pStyle w:val="ListBullet"/>
      </w:pPr>
      <w:r>
        <w:t>Evitar acusações pessoais; concentrar a justificativa em riscos institucionais, transparência e retorno social.</w:t>
      </w:r>
    </w:p>
    <w:p>
      <w:pPr>
        <w:pStyle w:val="Heading1"/>
      </w:pPr>
      <w:r>
        <w:t>Referências jurídicas e institucionais</w:t>
      </w:r>
    </w:p>
    <w:p>
      <w:pPr>
        <w:pStyle w:val="ListBullet"/>
      </w:pPr>
      <w:r>
        <w:t>BRASIL. Constituição da República Federativa do Brasil de 1988, especialmente arts. 6º, 23, 24, 30, 37, 205, 208, 211, 217 e 227.</w:t>
      </w:r>
    </w:p>
    <w:p>
      <w:pPr>
        <w:pStyle w:val="ListBullet"/>
      </w:pPr>
      <w:r>
        <w:t>BRASIL. Lei nº 14.597, de 14 de junho de 2023 - Lei Geral do Esporte, com alterações posteriores.</w:t>
      </w:r>
    </w:p>
    <w:p>
      <w:pPr>
        <w:pStyle w:val="ListBullet"/>
      </w:pPr>
      <w:r>
        <w:t>BRASIL. Lei nº 8.069, de 13 de julho de 1990 - Estatuto da Criança e do Adolescente.</w:t>
      </w:r>
    </w:p>
    <w:p>
      <w:pPr>
        <w:pStyle w:val="ListBullet"/>
      </w:pPr>
      <w:r>
        <w:t>BRASIL. Lei nº 9.394, de 20 de dezembro de 1996 - Lei de Diretrizes e Bases da Educação Nacional.</w:t>
      </w:r>
    </w:p>
    <w:p>
      <w:pPr>
        <w:pStyle w:val="ListBullet"/>
      </w:pPr>
      <w:r>
        <w:t>SENADO FEDERAL. Portal e-Cidadania - Ideia Legislativa. Ideias que alcancem 20 mil apoios podem ser convertidas em Sugestão Legislativa e analisadas pela CDH.</w:t>
      </w:r>
    </w:p>
    <w:p>
      <w:pPr>
        <w:pStyle w:val="ListBullet"/>
      </w:pPr>
      <w:r>
        <w:t>MINISTÉRIO DO ESPORTE. Experiências de esporte educacional e programação esportiva em férias, incluindo ações do Programa Segundo Tempo e Brincando com Esporte.</w:t>
      </w:r>
    </w:p>
    <w:p>
      <w:r>
        <w:rPr>
          <w:i/>
        </w:rPr>
        <w:t>Nota: este material é uma proposta cidadã preliminar e não substitui revisão técnica legislativa, jurídica, orçamentária e constitucional pelo Senado Federal.</w:t>
      </w:r>
    </w:p>
    <w:sectPr w:rsidR="00FC693F" w:rsidRPr="0006063C" w:rsidSect="00034616">
      <w:footerReference w:type="default" r:id="rId9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LINDE - Lei Nacional de Infraestrutura e Desenvolvimento do Esporte | Proposta cidadã</w:t>
    </w:r>
  </w:p>
  <w:p>
    <w:pPr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A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